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drawing>
          <wp:inline distT="0" distB="0" distL="0" distR="0">
            <wp:extent cx="1828800" cy="694055"/>
            <wp:effectExtent l="0" t="0" r="0" b="0"/>
            <wp:docPr id="1" name="图片 1" descr="海螺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海螺标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spacing w:line="240" w:lineRule="exact"/>
        <w:rPr>
          <w:rFonts w:ascii="仿宋_GB2312" w:eastAsia="仿宋_GB2312"/>
          <w:sz w:val="18"/>
          <w:szCs w:val="18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深孔爆破说明书</w:t>
      </w: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800" w:lineRule="exact"/>
        <w:jc w:val="center"/>
        <w:rPr>
          <w:rFonts w:ascii="楷体_GB2312" w:eastAsia="楷体_GB2312"/>
          <w:sz w:val="52"/>
          <w:szCs w:val="52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设计编号：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爆破地点：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</w:p>
    <w:p>
      <w:pPr>
        <w:tabs>
          <w:tab w:val="left" w:pos="3510"/>
        </w:tabs>
        <w:spacing w:line="640" w:lineRule="exact"/>
        <w:ind w:right="571" w:firstLine="1259" w:firstLineChars="285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设    计：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100" w:firstLineChars="249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 xml:space="preserve"> 审    核：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rPr>
          <w:rFonts w:ascii="宋体" w:hAnsi="宋体"/>
          <w:b/>
          <w:sz w:val="44"/>
          <w:szCs w:val="44"/>
        </w:rPr>
      </w:pPr>
    </w:p>
    <w:p>
      <w:pPr>
        <w:tabs>
          <w:tab w:val="left" w:pos="3510"/>
        </w:tabs>
        <w:spacing w:line="640" w:lineRule="exact"/>
        <w:ind w:firstLine="1316" w:firstLineChars="298"/>
        <w:rPr>
          <w:rFonts w:ascii="宋体" w:hAnsi="宋体"/>
          <w:b/>
          <w:sz w:val="44"/>
          <w:szCs w:val="44"/>
          <w:u w:val="single"/>
        </w:rPr>
      </w:pPr>
      <w:r>
        <w:rPr>
          <w:rFonts w:hint="eastAsia" w:ascii="宋体" w:hAnsi="宋体"/>
          <w:b/>
          <w:sz w:val="44"/>
          <w:szCs w:val="44"/>
        </w:rPr>
        <w:t>审    批：</w:t>
      </w:r>
      <w:r>
        <w:rPr>
          <w:rFonts w:hint="eastAsia" w:ascii="宋体" w:hAnsi="宋体"/>
          <w:b/>
          <w:sz w:val="44"/>
          <w:szCs w:val="44"/>
          <w:u w:val="single"/>
        </w:rPr>
        <w:t xml:space="preserve">                 </w:t>
      </w:r>
    </w:p>
    <w:p>
      <w:pPr>
        <w:tabs>
          <w:tab w:val="left" w:pos="3510"/>
        </w:tabs>
        <w:spacing w:line="640" w:lineRule="exact"/>
        <w:ind w:firstLine="783" w:firstLineChars="150"/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rPr>
          <w:rFonts w:ascii="宋体" w:hAnsi="宋体"/>
          <w:b/>
          <w:sz w:val="52"/>
          <w:szCs w:val="52"/>
        </w:rPr>
      </w:pPr>
    </w:p>
    <w:p>
      <w:pPr>
        <w:tabs>
          <w:tab w:val="left" w:pos="351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安徽宣城海螺水泥有限公司</w:t>
      </w:r>
    </w:p>
    <w:p>
      <w:pPr>
        <w:tabs>
          <w:tab w:val="left" w:pos="351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年   月   日</w:t>
      </w: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  <w:sectPr>
          <w:footerReference r:id="rId4" w:type="first"/>
          <w:footerReference r:id="rId3" w:type="even"/>
          <w:pgSz w:w="11906" w:h="16838"/>
          <w:pgMar w:top="1440" w:right="1800" w:bottom="1440" w:left="1800" w:header="851" w:footer="992" w:gutter="0"/>
          <w:pgNumType w:start="0"/>
          <w:cols w:space="720" w:num="1"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</w:p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爆破说明：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1、爆破时间：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</w:t>
      </w:r>
      <w:bookmarkStart w:id="0" w:name="BlastDate"/>
      <w:bookmarkEnd w:id="0"/>
      <w:r>
        <w:rPr>
          <w:rFonts w:ascii="宋体" w:hAnsi="宋体"/>
          <w:sz w:val="32"/>
          <w:szCs w:val="32"/>
          <w:u w:val="single"/>
        </w:rPr>
        <w:t>2022年4月2日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    </w:t>
      </w:r>
    </w:p>
    <w:p>
      <w:pPr>
        <w:tabs>
          <w:tab w:val="left" w:pos="3510"/>
        </w:tabs>
        <w:spacing w:line="480" w:lineRule="auto"/>
        <w:ind w:firstLine="160" w:firstLineChars="50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2、地质概况：</w:t>
      </w:r>
      <w:r>
        <w:rPr>
          <w:rFonts w:hint="eastAsia" w:ascii="宋体" w:hAnsi="宋体"/>
          <w:sz w:val="32"/>
          <w:szCs w:val="32"/>
          <w:u w:val="single"/>
        </w:rPr>
        <w:t xml:space="preserve">    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1" w:name="OreInfo"/>
      <w:bookmarkEnd w:id="1"/>
      <w:r>
        <w:rPr>
          <w:rFonts w:hint="eastAsia" w:ascii="宋体" w:hAnsi="宋体"/>
          <w:sz w:val="32"/>
          <w:szCs w:val="32"/>
          <w:u w:val="single"/>
        </w:rPr>
        <w:t xml:space="preserve">薄层灰岩，层理较发育。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3、爆破效果要求：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2" w:name="BstEffcect"/>
      <w:bookmarkEnd w:id="2"/>
      <w:r>
        <w:rPr>
          <w:rFonts w:hint="eastAsia" w:ascii="宋体" w:hAnsi="宋体"/>
          <w:sz w:val="32"/>
          <w:szCs w:val="32"/>
          <w:u w:val="single"/>
        </w:rPr>
        <w:t>控制飞石，降低震动。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  <w:u w:val="single"/>
        </w:rPr>
        <w:t xml:space="preserve">    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  <w:u w:val="single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4、炮孔布置：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3" w:name="BstPos"/>
      <w:bookmarkEnd w:id="3"/>
      <w:r>
        <w:rPr>
          <w:rFonts w:hint="eastAsia" w:ascii="宋体" w:hAnsi="宋体"/>
          <w:sz w:val="32"/>
          <w:szCs w:val="32"/>
          <w:u w:val="single"/>
        </w:rPr>
        <w:t>三角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方式布孔；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4" w:name="HlArr"/>
      <w:bookmarkEnd w:id="4"/>
      <w:r>
        <w:rPr>
          <w:rFonts w:ascii="宋体" w:hAnsi="宋体"/>
          <w:sz w:val="32"/>
          <w:szCs w:val="32"/>
          <w:u w:val="single"/>
        </w:rPr>
        <w:t>3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sz w:val="32"/>
          <w:szCs w:val="32"/>
        </w:rPr>
        <w:t>排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5" w:name="HlNum"/>
      <w:bookmarkEnd w:id="5"/>
      <w:r>
        <w:rPr>
          <w:rFonts w:ascii="宋体" w:hAnsi="宋体"/>
          <w:sz w:val="32"/>
          <w:szCs w:val="32"/>
          <w:u w:val="single"/>
        </w:rPr>
        <w:t xml:space="preserve">60 </w:t>
      </w:r>
      <w:r>
        <w:rPr>
          <w:rFonts w:hint="eastAsia" w:ascii="宋体" w:hAnsi="宋体"/>
          <w:sz w:val="32"/>
          <w:szCs w:val="32"/>
        </w:rPr>
        <w:t>孔</w:t>
      </w: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</w:p>
    <w:p>
      <w:pPr>
        <w:tabs>
          <w:tab w:val="left" w:pos="3510"/>
        </w:tabs>
        <w:spacing w:line="48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5、爆破方案：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 </w:t>
      </w:r>
      <w:bookmarkStart w:id="6" w:name="BstStyle"/>
      <w:bookmarkEnd w:id="6"/>
      <w:r>
        <w:rPr>
          <w:rFonts w:hint="eastAsia" w:ascii="宋体" w:hAnsi="宋体"/>
          <w:sz w:val="32"/>
          <w:szCs w:val="32"/>
          <w:u w:val="single"/>
        </w:rPr>
        <w:t xml:space="preserve">抛掷 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●爆破方向：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bookmarkStart w:id="7" w:name="BstDirect"/>
      <w:bookmarkEnd w:id="7"/>
      <w:r>
        <w:rPr>
          <w:rFonts w:hint="eastAsia" w:ascii="宋体" w:hAnsi="宋体"/>
          <w:sz w:val="32"/>
          <w:szCs w:val="32"/>
          <w:u w:val="single"/>
        </w:rPr>
        <w:t xml:space="preserve">南     </w:t>
      </w:r>
      <w:r>
        <w:rPr>
          <w:rFonts w:ascii="宋体" w:hAnsi="宋体"/>
          <w:sz w:val="32"/>
          <w:szCs w:val="32"/>
          <w:u w:val="single"/>
        </w:rPr>
        <w:t xml:space="preserve">      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●装药结构：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8" w:name="DynaStruc"/>
      <w:bookmarkEnd w:id="8"/>
      <w:r>
        <w:rPr>
          <w:rFonts w:hint="eastAsia" w:ascii="宋体" w:hAnsi="宋体"/>
          <w:sz w:val="32"/>
          <w:szCs w:val="32"/>
          <w:u w:val="single"/>
        </w:rPr>
        <w:t xml:space="preserve">连续柱状      </w:t>
      </w:r>
      <w:r>
        <w:rPr>
          <w:rFonts w:ascii="宋体" w:hAnsi="宋体"/>
          <w:sz w:val="32"/>
          <w:szCs w:val="32"/>
          <w:u w:val="single"/>
        </w:rPr>
        <w:t xml:space="preserve">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●爆破网络联结方式：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bookmarkStart w:id="9" w:name="ConnStyle"/>
      <w:bookmarkEnd w:id="9"/>
      <w:r>
        <w:rPr>
          <w:rFonts w:hint="eastAsia" w:ascii="宋体" w:hAnsi="宋体"/>
          <w:sz w:val="32"/>
          <w:szCs w:val="32"/>
          <w:u w:val="single"/>
        </w:rPr>
        <w:t xml:space="preserve">串并混合   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●起爆方式：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    </w:t>
      </w:r>
      <w:bookmarkStart w:id="10" w:name="FireStyle"/>
      <w:bookmarkEnd w:id="10"/>
      <w:r>
        <w:rPr>
          <w:rFonts w:hint="eastAsia" w:ascii="宋体" w:hAnsi="宋体"/>
          <w:sz w:val="32"/>
          <w:szCs w:val="32"/>
          <w:u w:val="single"/>
        </w:rPr>
        <w:t xml:space="preserve">非电     </w:t>
      </w:r>
      <w:r>
        <w:rPr>
          <w:rFonts w:ascii="宋体" w:hAnsi="宋体"/>
          <w:sz w:val="32"/>
          <w:szCs w:val="32"/>
          <w:u w:val="single"/>
        </w:rPr>
        <w:t xml:space="preserve">      </w:t>
      </w:r>
      <w:r>
        <w:rPr>
          <w:rFonts w:hint="eastAsia" w:ascii="宋体" w:hAnsi="宋体"/>
          <w:sz w:val="32"/>
          <w:szCs w:val="32"/>
          <w:u w:val="single"/>
        </w:rPr>
        <w:t xml:space="preserve"> </w:t>
      </w:r>
    </w:p>
    <w:p>
      <w:pPr>
        <w:tabs>
          <w:tab w:val="left" w:pos="3510"/>
        </w:tabs>
        <w:spacing w:line="480" w:lineRule="auto"/>
        <w:ind w:firstLine="320" w:firstLineChars="100"/>
        <w:rPr>
          <w:rFonts w:ascii="宋体" w:hAnsi="宋体"/>
          <w:sz w:val="32"/>
          <w:szCs w:val="32"/>
          <w:u w:val="single"/>
        </w:rPr>
      </w:pPr>
    </w:p>
    <w:p>
      <w:pPr>
        <w:widowControl/>
        <w:jc w:val="center"/>
        <w:rPr>
          <w:rFonts w:ascii="黑体" w:eastAsia="黑体"/>
          <w:sz w:val="40"/>
          <w:szCs w:val="40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eastAsia="黑体"/>
          <w:sz w:val="40"/>
          <w:szCs w:val="40"/>
        </w:rPr>
        <w:t>深孔爆破主要技术参数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734"/>
        <w:gridCol w:w="1620"/>
        <w:gridCol w:w="2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    目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 位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 计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台段高度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径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毫米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170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炮孔倾角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度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60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数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排   距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最小抵抗线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孔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总进尺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900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超   深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充   填 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单段最大药量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炸药单耗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千克/吨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0.179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延米爆落量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吨/米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84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炸药总量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千克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13500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雷管总量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发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180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06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爆落总量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吨</w:t>
            </w: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sz w:val="24"/>
              </w:rPr>
              <w:t>75240</w:t>
            </w: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  <w:jc w:val="center"/>
        </w:trPr>
        <w:tc>
          <w:tcPr>
            <w:tcW w:w="2064" w:type="dxa"/>
            <w:vAlign w:val="center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   注</w:t>
            </w:r>
          </w:p>
        </w:tc>
        <w:tc>
          <w:tcPr>
            <w:tcW w:w="1734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>
            <w:pPr>
              <w:tabs>
                <w:tab w:val="left" w:pos="3510"/>
              </w:tabs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6" w:type="dxa"/>
          </w:tcPr>
          <w:p>
            <w:pPr>
              <w:tabs>
                <w:tab w:val="left" w:pos="3510"/>
              </w:tabs>
              <w:spacing w:line="5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tabs>
          <w:tab w:val="left" w:pos="3510"/>
        </w:tabs>
        <w:rPr>
          <w:rFonts w:ascii="楷体_GB2312" w:eastAsia="楷体_GB2312"/>
          <w:b/>
          <w:sz w:val="44"/>
          <w:szCs w:val="44"/>
        </w:rPr>
        <w:sectPr>
          <w:footerReference r:id="rId6" w:type="first"/>
          <w:footerReference r:id="rId5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119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219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309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310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311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312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314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317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319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225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1254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sz w:val="24"/>
              </w:rPr>
              <w:t>75240</w:t>
            </w:r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0"/>
          <w:szCs w:val="40"/>
        </w:rPr>
      </w:pPr>
      <w:r>
        <w:rPr>
          <w:rFonts w:hint="eastAsia" w:ascii="黑体" w:eastAsia="黑体"/>
          <w:sz w:val="40"/>
          <w:szCs w:val="40"/>
        </w:rPr>
        <w:t>爆破矿量及装药量计算表</w:t>
      </w:r>
    </w:p>
    <w:tbl>
      <w:tblPr>
        <w:tblStyle w:val="5"/>
        <w:tblW w:w="0" w:type="auto"/>
        <w:tblInd w:w="-2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871"/>
        <w:gridCol w:w="871"/>
        <w:gridCol w:w="871"/>
        <w:gridCol w:w="871"/>
        <w:gridCol w:w="800"/>
        <w:gridCol w:w="803"/>
        <w:gridCol w:w="1034"/>
        <w:gridCol w:w="871"/>
        <w:gridCol w:w="871"/>
        <w:gridCol w:w="8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</w:trPr>
        <w:tc>
          <w:tcPr>
            <w:tcW w:w="654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编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5087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炮孔参数</w:t>
            </w:r>
          </w:p>
        </w:tc>
        <w:tc>
          <w:tcPr>
            <w:tcW w:w="1034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药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kg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爆</w:t>
            </w:r>
            <w:r>
              <w:rPr>
                <w:rFonts w:ascii="宋体" w:hAnsi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落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量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T</w:t>
            </w:r>
          </w:p>
        </w:tc>
        <w:tc>
          <w:tcPr>
            <w:tcW w:w="87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exact"/>
        </w:trPr>
        <w:tc>
          <w:tcPr>
            <w:tcW w:w="654" w:type="dxa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高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度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抵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抗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线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排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距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超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钻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深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ascii="宋体" w:hAnsi="宋体"/>
                <w:kern w:val="0"/>
                <w:sz w:val="28"/>
                <w:szCs w:val="28"/>
              </w:rPr>
              <w:t>m</w:t>
            </w:r>
          </w:p>
        </w:tc>
        <w:tc>
          <w:tcPr>
            <w:tcW w:w="1034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7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654" w:type="dxa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6" w:name="_GoBack"/>
            <w:bookmarkEnd w:id="16"/>
          </w:p>
        </w:tc>
        <w:tc>
          <w:tcPr>
            <w:tcW w:w="87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tabs>
          <w:tab w:val="left" w:pos="3510"/>
        </w:tabs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爆破安全距离计算</w:t>
      </w:r>
    </w:p>
    <w:tbl>
      <w:tblPr>
        <w:tblStyle w:val="5"/>
        <w:tblW w:w="92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4676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999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应用计算公式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计算结果（米）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地震波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pStyle w:val="9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R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d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=(K/V</w:t>
            </w:r>
            <w:r>
              <w:rPr>
                <w:rFonts w:hint="eastAsia" w:ascii="宋体" w:hAnsi="宋体"/>
                <w:b/>
                <w:sz w:val="28"/>
                <w:szCs w:val="28"/>
                <w:vertAlign w:val="subscript"/>
              </w:rPr>
              <w:t>安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)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1/a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Q</w:t>
            </w:r>
            <w:r>
              <w:rPr>
                <w:rFonts w:hint="eastAsia" w:ascii="宋体" w:hAnsi="宋体"/>
                <w:b/>
                <w:sz w:val="28"/>
                <w:szCs w:val="28"/>
                <w:vertAlign w:val="superscript"/>
              </w:rPr>
              <w:t>m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V允许的振动速度,cm/s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Q—单段最大装药量,Kg</w:t>
            </w:r>
          </w:p>
          <w:p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M—装药量指数,取1/3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K、a与爆破场地条件有关的系数和衰减指数,结合实际分别确定为180、1.5</w:t>
            </w:r>
          </w:p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备注：一般砖房的安全允许振速为2.3-2.8（频率为10-50赫兹）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rPr>
                <w:rFonts w:ascii="宋体" w:hAnsi="宋体"/>
                <w:sz w:val="24"/>
              </w:rPr>
            </w:pPr>
          </w:p>
          <w:p>
            <w:pPr>
              <w:pStyle w:val="9"/>
              <w:ind w:firstLine="241" w:firstLineChars="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11" w:name="DiboJuli"/>
            <w:bookmarkEnd w:id="11"/>
            <w:r>
              <w:rPr>
                <w:rFonts w:ascii="宋体" w:hAnsi="宋体"/>
                <w:b/>
                <w:sz w:val="24"/>
                <w:szCs w:val="24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4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个别飞石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安全距离</w:t>
            </w:r>
          </w:p>
        </w:tc>
        <w:tc>
          <w:tcPr>
            <w:tcW w:w="4676" w:type="dxa"/>
          </w:tcPr>
          <w:p>
            <w:pPr>
              <w:tabs>
                <w:tab w:val="left" w:pos="3510"/>
              </w:tabs>
              <w:spacing w:line="3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1、《爆破安全规程》规定，深孔爆破个别飞石最小安全距离不得小于200米。在边坡附近爆破时，下坡方向的安全距离应在200米的基础上增加50%，取300米以上。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2、根据实际情况，通过经验公式进行测算。但不得小于200米。</w:t>
            </w:r>
          </w:p>
          <w:p>
            <w:pPr>
              <w:tabs>
                <w:tab w:val="left" w:pos="3510"/>
              </w:tabs>
              <w:spacing w:line="300" w:lineRule="exact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3、根据实际情况R</w:t>
            </w:r>
            <w:r>
              <w:rPr>
                <w:rFonts w:hint="eastAsia" w:ascii="宋体" w:hAnsi="宋体"/>
                <w:szCs w:val="21"/>
                <w:vertAlign w:val="subscript"/>
              </w:rPr>
              <w:t>F</w:t>
            </w:r>
            <w:r>
              <w:rPr>
                <w:rFonts w:hint="eastAsia" w:ascii="宋体" w:hAnsi="宋体"/>
                <w:szCs w:val="21"/>
              </w:rPr>
              <w:t>取300米。</w:t>
            </w:r>
          </w:p>
        </w:tc>
        <w:tc>
          <w:tcPr>
            <w:tcW w:w="2615" w:type="dxa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pStyle w:val="9"/>
              <w:jc w:val="center"/>
              <w:rPr>
                <w:rFonts w:ascii="宋体" w:hAnsi="宋体"/>
                <w:b/>
                <w:sz w:val="24"/>
              </w:rPr>
            </w:pPr>
            <w:bookmarkStart w:id="12" w:name="FeishiJuli"/>
            <w:bookmarkEnd w:id="12"/>
            <w:r>
              <w:rPr>
                <w:rFonts w:ascii="宋体" w:hAnsi="宋体"/>
                <w:b/>
                <w:sz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1" w:hRule="atLeast"/>
          <w:jc w:val="center"/>
        </w:trPr>
        <w:tc>
          <w:tcPr>
            <w:tcW w:w="1999" w:type="dxa"/>
            <w:vAlign w:val="center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安全技术</w:t>
            </w: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措施</w:t>
            </w:r>
          </w:p>
        </w:tc>
        <w:tc>
          <w:tcPr>
            <w:tcW w:w="7291" w:type="dxa"/>
            <w:gridSpan w:val="2"/>
          </w:tcPr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bookmarkStart w:id="13" w:name="AnQuanJiShu"/>
            <w:bookmarkEnd w:id="13"/>
            <w:r>
              <w:rPr>
                <w:rFonts w:ascii="宋体" w:hAnsi="宋体"/>
                <w:sz w:val="24"/>
              </w:rPr>
              <w:t>1、作业时严格遵守爆破安全规程；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2、严禁交叉作业；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3、网络连接实行“三检查”；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4、强化安全警戒，实行区域责任制，警戒范围设200米；</w:t>
            </w:r>
          </w:p>
          <w:p>
            <w:pPr>
              <w:tabs>
                <w:tab w:val="left" w:pos="3510"/>
              </w:tabs>
              <w:spacing w:line="4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5、起爆后15分钟进入炮地进行检查，若无任何安全隐患，结束本次作业。</w:t>
            </w:r>
          </w:p>
        </w:tc>
      </w:tr>
    </w:tbl>
    <w:p>
      <w:pPr>
        <w:tabs>
          <w:tab w:val="left" w:pos="3510"/>
        </w:tabs>
        <w:rPr>
          <w:rFonts w:ascii="黑体" w:eastAsia="黑体"/>
          <w:sz w:val="44"/>
          <w:szCs w:val="44"/>
        </w:rPr>
        <w:sectPr>
          <w:footerReference r:id="rId8" w:type="first"/>
          <w:footerReference r:id="rId7" w:type="default"/>
          <w:pgSz w:w="11906" w:h="16838"/>
          <w:pgMar w:top="1440" w:right="1797" w:bottom="1440" w:left="1797" w:header="851" w:footer="992" w:gutter="0"/>
          <w:cols w:space="720" w:num="1"/>
          <w:titlePg/>
          <w:docGrid w:linePitch="312" w:charSpace="0"/>
        </w:sectPr>
      </w:pP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              装药结构示意图              </w:t>
      </w:r>
    </w:p>
    <w:p>
      <w:pPr>
        <w:tabs>
          <w:tab w:val="left" w:pos="3510"/>
        </w:tabs>
        <w:jc w:val="center"/>
        <w:rPr>
          <w:rFonts w:ascii="楷体_GB2312" w:eastAsia="楷体_GB2312"/>
          <w:sz w:val="18"/>
          <w:szCs w:val="18"/>
        </w:rPr>
      </w:pPr>
      <w:bookmarkStart w:id="14" w:name="TntImg"/>
      <w:bookmarkEnd w:id="14"/>
      <w:r>
        <w:rPr>
          <w:rFonts w:ascii="楷体_GB2312" w:eastAsia="楷体_GB2312"/>
          <w:sz w:val="18"/>
          <w:szCs w:val="18"/>
        </w:rPr>
        <w:drawing>
          <wp:inline distT="0" distB="0" distL="0" distR="0">
            <wp:extent cx="2286000" cy="226314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198" cy="22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10"/>
        </w:tabs>
        <w:rPr>
          <w:rFonts w:ascii="楷体_GB2312" w:eastAsia="楷体_GB2312"/>
          <w:sz w:val="30"/>
          <w:szCs w:val="30"/>
        </w:rPr>
      </w:pPr>
      <w:r>
        <w:rPr>
          <w:rFonts w:hint="eastAsia" w:ascii="黑体" w:eastAsia="黑体"/>
          <w:sz w:val="44"/>
          <w:szCs w:val="44"/>
          <w:u w:val="single"/>
        </w:rPr>
        <w:t xml:space="preserve">     </w:t>
      </w:r>
      <w:r>
        <w:rPr>
          <w:rFonts w:hint="eastAsia" w:ascii="楷体_GB2312" w:eastAsia="楷体_GB2312"/>
          <w:b/>
          <w:sz w:val="44"/>
          <w:szCs w:val="44"/>
          <w:u w:val="single"/>
        </w:rPr>
        <w:t xml:space="preserve">炮孔布置及网络连接平面示意图      </w:t>
      </w:r>
    </w:p>
    <w:p>
      <w:pPr>
        <w:tabs>
          <w:tab w:val="left" w:pos="3510"/>
        </w:tabs>
        <w:jc w:val="center"/>
        <w:rPr>
          <w:rFonts w:ascii="宋体" w:hAnsi="宋体"/>
          <w:sz w:val="32"/>
          <w:szCs w:val="32"/>
        </w:rPr>
      </w:pPr>
      <w:bookmarkStart w:id="15" w:name="KongImg"/>
      <w:bookmarkEnd w:id="15"/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说明：＞  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    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 xml:space="preserve">     </w:t>
      </w:r>
      <w:r>
        <w:rPr>
          <w:rFonts w:hint="eastAsia" w:ascii="楷体_GB2312" w:eastAsia="楷体_GB2312"/>
          <w:spacing w:val="-56"/>
          <w:sz w:val="30"/>
          <w:szCs w:val="30"/>
        </w:rPr>
        <w:t xml:space="preserve">＞＞＞      </w:t>
      </w:r>
      <w:r>
        <w:rPr>
          <w:rFonts w:hint="eastAsia" w:ascii="楷体_GB2312" w:eastAsia="楷体_GB2312"/>
          <w:sz w:val="30"/>
          <w:szCs w:val="30"/>
        </w:rPr>
        <w:t>：间隔</w:t>
      </w:r>
      <w:r>
        <w:rPr>
          <w:rFonts w:hint="eastAsia" w:ascii="楷体_GB2312" w:eastAsia="楷体_GB2312"/>
          <w:sz w:val="30"/>
          <w:szCs w:val="30"/>
          <w:u w:val="single"/>
        </w:rPr>
        <w:t xml:space="preserve">    </w:t>
      </w:r>
      <w:r>
        <w:rPr>
          <w:rFonts w:hint="eastAsia" w:ascii="楷体_GB2312" w:eastAsia="楷体_GB2312"/>
          <w:sz w:val="30"/>
          <w:szCs w:val="30"/>
        </w:rPr>
        <w:t>毫秒；</w:t>
      </w:r>
    </w:p>
    <w:p>
      <w:pPr>
        <w:widowControl/>
        <w:jc w:val="left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/>
          <w:sz w:val="30"/>
          <w:szCs w:val="30"/>
        </w:rPr>
        <w:br w:type="page"/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  <w:r>
        <w:rPr>
          <w:rFonts w:hint="eastAsia" w:ascii="楷体_GB2312" w:eastAsia="楷体_GB2312"/>
          <w:b/>
          <w:sz w:val="44"/>
          <w:szCs w:val="44"/>
        </w:rPr>
        <w:t>评审结果及评审人员</w:t>
      </w:r>
    </w:p>
    <w:p>
      <w:pPr>
        <w:tabs>
          <w:tab w:val="left" w:pos="3510"/>
        </w:tabs>
        <w:jc w:val="center"/>
        <w:rPr>
          <w:rFonts w:ascii="楷体_GB2312" w:eastAsia="楷体_GB2312"/>
          <w:b/>
          <w:sz w:val="44"/>
          <w:szCs w:val="44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4" w:hRule="atLeast"/>
          <w:jc w:val="center"/>
        </w:trPr>
        <w:tc>
          <w:tcPr>
            <w:tcW w:w="8414" w:type="dxa"/>
          </w:tcPr>
          <w:p>
            <w:pPr>
              <w:tabs>
                <w:tab w:val="left" w:pos="3510"/>
              </w:tabs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评审情况：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日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ind w:firstLine="640" w:firstLineChars="200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设计符合相关规程，务必按设计执行作业</w:t>
            </w:r>
            <w:r>
              <w:rPr>
                <w:rFonts w:hint="eastAsia" w:ascii="楷体_GB2312" w:eastAsia="楷体_GB2312"/>
                <w:sz w:val="32"/>
                <w:szCs w:val="32"/>
              </w:rPr>
              <w:t>。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rPr>
                <w:rFonts w:ascii="楷体_GB2312" w:eastAsia="楷体_GB2312"/>
                <w:b/>
                <w:sz w:val="44"/>
                <w:szCs w:val="44"/>
              </w:rPr>
            </w:pPr>
            <w:r>
              <w:rPr>
                <w:rFonts w:hint="eastAsia" w:ascii="楷体_GB2312" w:eastAsia="楷体_GB2312"/>
                <w:b/>
                <w:sz w:val="44"/>
                <w:szCs w:val="44"/>
              </w:rPr>
              <w:t>参评人员：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b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b/>
                <w:sz w:val="44"/>
                <w:szCs w:val="44"/>
              </w:rPr>
              <w:t xml:space="preserve">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  <w:r>
              <w:rPr>
                <w:rFonts w:hint="eastAsia" w:ascii="楷体_GB2312" w:eastAsia="楷体_GB2312"/>
                <w:sz w:val="44"/>
                <w:szCs w:val="44"/>
              </w:rPr>
              <w:t xml:space="preserve">  </w:t>
            </w:r>
            <w:r>
              <w:rPr>
                <w:rFonts w:hint="eastAsia" w:ascii="楷体_GB2312" w:eastAsia="楷体_GB2312"/>
                <w:sz w:val="44"/>
                <w:szCs w:val="44"/>
                <w:u w:val="single"/>
              </w:rPr>
              <w:t xml:space="preserve">     </w:t>
            </w:r>
          </w:p>
          <w:p>
            <w:pPr>
              <w:rPr>
                <w:rFonts w:ascii="楷体_GB2312" w:eastAsia="楷体_GB2312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</w:p>
          <w:p>
            <w:pPr>
              <w:tabs>
                <w:tab w:val="left" w:pos="3510"/>
              </w:tabs>
              <w:jc w:val="center"/>
              <w:rPr>
                <w:rFonts w:ascii="黑体" w:hAnsi="宋体" w:eastAsia="黑体"/>
                <w:sz w:val="44"/>
                <w:szCs w:val="44"/>
              </w:rPr>
            </w:pPr>
            <w:r>
              <w:rPr>
                <w:rFonts w:hint="eastAsia" w:ascii="黑体" w:hAnsi="宋体" w:eastAsia="黑体"/>
                <w:sz w:val="44"/>
                <w:szCs w:val="44"/>
              </w:rPr>
              <w:t>爆破效果评价</w:t>
            </w: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6"/>
                <w:szCs w:val="36"/>
              </w:rPr>
            </w:pPr>
          </w:p>
          <w:p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44"/>
                <w:szCs w:val="44"/>
              </w:rPr>
              <w:t xml:space="preserve">                             </w:t>
            </w:r>
            <w:r>
              <w:rPr>
                <w:rFonts w:hint="eastAsia" w:ascii="楷体_GB2312" w:eastAsia="楷体_GB2312"/>
                <w:sz w:val="30"/>
                <w:szCs w:val="30"/>
              </w:rPr>
              <w:t>年   月   日</w:t>
            </w:r>
          </w:p>
        </w:tc>
      </w:tr>
    </w:tbl>
    <w:p>
      <w:pPr>
        <w:tabs>
          <w:tab w:val="left" w:pos="3510"/>
        </w:tabs>
        <w:spacing w:line="520" w:lineRule="exact"/>
        <w:rPr>
          <w:rFonts w:ascii="楷体_GB2312" w:eastAsia="楷体_GB2312"/>
          <w:sz w:val="30"/>
          <w:szCs w:val="30"/>
        </w:rPr>
      </w:pPr>
    </w:p>
    <w:sectPr>
      <w:footerReference r:id="rId9" w:type="first"/>
      <w:pgSz w:w="11906" w:h="16838"/>
      <w:pgMar w:top="1440" w:right="1797" w:bottom="1440" w:left="179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t>3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9</w:t>
    </w:r>
    <w:r>
      <w:fldChar w:fldCharType="end"/>
    </w:r>
  </w:p>
  <w:p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5CE0"/>
    <w:rsid w:val="0005261C"/>
    <w:rsid w:val="00093068"/>
    <w:rsid w:val="000D4736"/>
    <w:rsid w:val="000E737A"/>
    <w:rsid w:val="00113FDA"/>
    <w:rsid w:val="00172A27"/>
    <w:rsid w:val="00172C29"/>
    <w:rsid w:val="0018473B"/>
    <w:rsid w:val="001904BD"/>
    <w:rsid w:val="001D4239"/>
    <w:rsid w:val="001F7ED2"/>
    <w:rsid w:val="0023663B"/>
    <w:rsid w:val="0024158C"/>
    <w:rsid w:val="00296E65"/>
    <w:rsid w:val="002A79E0"/>
    <w:rsid w:val="002B66D1"/>
    <w:rsid w:val="002C3B07"/>
    <w:rsid w:val="002E1D73"/>
    <w:rsid w:val="003D22D6"/>
    <w:rsid w:val="004565D3"/>
    <w:rsid w:val="00461DEB"/>
    <w:rsid w:val="00465224"/>
    <w:rsid w:val="00496D02"/>
    <w:rsid w:val="004A4E65"/>
    <w:rsid w:val="004C3268"/>
    <w:rsid w:val="004E538C"/>
    <w:rsid w:val="00502050"/>
    <w:rsid w:val="005209B1"/>
    <w:rsid w:val="00531EE2"/>
    <w:rsid w:val="00545E83"/>
    <w:rsid w:val="0055793A"/>
    <w:rsid w:val="00560B20"/>
    <w:rsid w:val="00561961"/>
    <w:rsid w:val="005621B9"/>
    <w:rsid w:val="005C2566"/>
    <w:rsid w:val="005E2D3D"/>
    <w:rsid w:val="00603C90"/>
    <w:rsid w:val="00633B49"/>
    <w:rsid w:val="006C2F9A"/>
    <w:rsid w:val="006C30C7"/>
    <w:rsid w:val="006C7C5C"/>
    <w:rsid w:val="006D79BA"/>
    <w:rsid w:val="006F3A62"/>
    <w:rsid w:val="00747135"/>
    <w:rsid w:val="0075322A"/>
    <w:rsid w:val="0077516C"/>
    <w:rsid w:val="00782381"/>
    <w:rsid w:val="007A2598"/>
    <w:rsid w:val="007A413C"/>
    <w:rsid w:val="007B2FD3"/>
    <w:rsid w:val="007D0E44"/>
    <w:rsid w:val="007E3259"/>
    <w:rsid w:val="008178C1"/>
    <w:rsid w:val="00822AA8"/>
    <w:rsid w:val="008901D4"/>
    <w:rsid w:val="00891AA2"/>
    <w:rsid w:val="00930945"/>
    <w:rsid w:val="00942D8F"/>
    <w:rsid w:val="00976A86"/>
    <w:rsid w:val="009821FC"/>
    <w:rsid w:val="00982720"/>
    <w:rsid w:val="0098379D"/>
    <w:rsid w:val="00992248"/>
    <w:rsid w:val="009A7762"/>
    <w:rsid w:val="009B4F25"/>
    <w:rsid w:val="00A30A1A"/>
    <w:rsid w:val="00A321CB"/>
    <w:rsid w:val="00A42903"/>
    <w:rsid w:val="00A51FD0"/>
    <w:rsid w:val="00A74C99"/>
    <w:rsid w:val="00A75D55"/>
    <w:rsid w:val="00AC72E1"/>
    <w:rsid w:val="00AD11E9"/>
    <w:rsid w:val="00AD5680"/>
    <w:rsid w:val="00AD6DB8"/>
    <w:rsid w:val="00AD6E12"/>
    <w:rsid w:val="00AF0760"/>
    <w:rsid w:val="00AF47C3"/>
    <w:rsid w:val="00B00C45"/>
    <w:rsid w:val="00B10EC9"/>
    <w:rsid w:val="00B36482"/>
    <w:rsid w:val="00B64D10"/>
    <w:rsid w:val="00BA768B"/>
    <w:rsid w:val="00BA7C7E"/>
    <w:rsid w:val="00BC4F50"/>
    <w:rsid w:val="00BD5484"/>
    <w:rsid w:val="00C46DC6"/>
    <w:rsid w:val="00C56801"/>
    <w:rsid w:val="00C977B2"/>
    <w:rsid w:val="00CE2467"/>
    <w:rsid w:val="00CE61D5"/>
    <w:rsid w:val="00D11BEB"/>
    <w:rsid w:val="00D12FC3"/>
    <w:rsid w:val="00D240E7"/>
    <w:rsid w:val="00D81FA4"/>
    <w:rsid w:val="00DA4B84"/>
    <w:rsid w:val="00DA729F"/>
    <w:rsid w:val="00E05FD0"/>
    <w:rsid w:val="00E23646"/>
    <w:rsid w:val="00E31BF6"/>
    <w:rsid w:val="00E64022"/>
    <w:rsid w:val="00E77E25"/>
    <w:rsid w:val="00E80CEE"/>
    <w:rsid w:val="00E80D81"/>
    <w:rsid w:val="00EE05A2"/>
    <w:rsid w:val="00EE32A5"/>
    <w:rsid w:val="00F24991"/>
    <w:rsid w:val="00F46CD1"/>
    <w:rsid w:val="00F50F77"/>
    <w:rsid w:val="00F80324"/>
    <w:rsid w:val="00FA7F78"/>
    <w:rsid w:val="14D11969"/>
    <w:rsid w:val="14FF725E"/>
    <w:rsid w:val="3DB36554"/>
    <w:rsid w:val="4BD531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iPriority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C5A57B-6C91-4CCC-8F40-7411BFA5A4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10</Pages>
  <Words>1448</Words>
  <Characters>2174</Characters>
  <Lines>27</Lines>
  <Paragraphs>7</Paragraphs>
  <TotalTime>0</TotalTime>
  <ScaleCrop>false</ScaleCrop>
  <LinksUpToDate>false</LinksUpToDate>
  <CharactersWithSpaces>2711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2022-03-31T00:49:00Z</dcterms:created>
  <dc:creator>admin</dc:creator>
  <cp:lastModifiedBy>admin</cp:lastModifiedBy>
  <cp:lastPrinted>2013-08-15T08:18:00Z</cp:lastPrinted>
  <dcterms:modified xsi:type="dcterms:W3CDTF">2022-03-31T00:52:36Z</dcterms:modified>
  <dc:title>_x0001_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CE6713A3FDCB41B9AEE66B5D0EC5D48F</vt:lpwstr>
  </property>
  <property fmtid="{D5CDD505-2E9C-101B-9397-08002B2CF9AE}" pid="4" name="Generator">
    <vt:lpwstr>NPOI</vt:lpwstr>
  </property>
  <property fmtid="{D5CDD505-2E9C-101B-9397-08002B2CF9AE}" pid="5" name="Generator Version">
    <vt:lpwstr>2.4.1</vt:lpwstr>
  </property>
</Properties>
</file>